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9892F"/>
          <w:sz w:val="18"/>
        </w:rPr>
        <w:t>আইনি পরামর্শ</w:t>
      </w:r>
    </w:p>
    <w:p>
      <w:pPr>
        <w:pStyle w:val="Heading1"/>
      </w:pPr>
      <w:r>
        <w:t>ইয়েস লিগ্যাল অ্যাডভাইস</w:t>
      </w:r>
    </w:p>
    <w:p>
      <w:r>
        <w:rPr>
          <w:color w:val="5A5A5A"/>
          <w:sz w:val="23"/>
        </w:rPr>
        <w:t>ব্যবসার প্রতিটি ধাপে বিশ্বস্ত আইনি সহযোগী।</w:t>
      </w:r>
    </w:p>
    <w:p/>
    <w:p>
      <w:pPr>
        <w:pStyle w:val="Heading2"/>
      </w:pPr>
      <w:r>
        <w:t>সংক্ষিপ্ত বিবরণ</w:t>
      </w:r>
    </w:p>
    <w:p>
      <w:r>
        <w:t>ইয়েস লিগ্যাল অ্যাডভাইস গ্রুপের আইনি ডেস্ক — ব্যারিস্টার, অ্যাডভোকেট ও কোম্পানি সেক্রেটারিদের একটি প্যানেল, যারা আরজেএসসি নিবন্ধন ও ট্রেড লাইসেন্স থেকে চুক্তি প্রণয়ন, আইপি ফাইলিং ও নিয়ন্ত্রক সম্মতি পর্যন্ত সবকিছু সামলান, যাতে উদ্যোক্তারা আত্মবিশ্বাসের সঙ্গে এগিয়ে যেতে পারেন।</w:t>
      </w:r>
    </w:p>
    <w:p>
      <w:pPr>
        <w:pStyle w:val="Heading2"/>
      </w:pPr>
      <w:r>
        <w:t>মূল বৈশিষ্ট্য</w:t>
      </w:r>
    </w:p>
    <w:p>
      <w:pPr>
        <w:pStyle w:val="ListBullet"/>
      </w:pPr>
      <w:r>
        <w:t>কোম্পানি গঠন, আরজেএসসি ও ট্রেড লাইসেন্স সহায়তা</w:t>
      </w:r>
    </w:p>
    <w:p>
      <w:pPr>
        <w:pStyle w:val="ListBullet"/>
      </w:pPr>
      <w:r>
        <w:t>চুক্তি প্রণয়ন, পর্যালোচনা ও আলোচনা</w:t>
      </w:r>
    </w:p>
    <w:p>
      <w:pPr>
        <w:pStyle w:val="ListBullet"/>
      </w:pPr>
      <w:r>
        <w:t>ট্রেডমার্ক, কপিরাইট ও আইপি সুরক্ষা</w:t>
      </w:r>
    </w:p>
    <w:p>
      <w:pPr>
        <w:pStyle w:val="ListBullet"/>
      </w:pPr>
      <w:r>
        <w:t>নিয়ন্ত্রক সম্মতি ও বিরোধ নিষ্পত্তি</w:t>
      </w:r>
    </w:p>
    <w:p>
      <w:pPr>
        <w:pStyle w:val="Heading2"/>
      </w:pPr>
      <w:r>
        <w:t>এক নজরে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প্রতিষ্ঠিত</w:t>
            </w:r>
          </w:p>
        </w:tc>
        <w:tc>
          <w:tcPr>
            <w:tcW w:type="dxa" w:w="4706"/>
          </w:tcPr>
          <w:p>
            <w:r>
              <w:t>২০২৪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কার্যক্রম এলাকা</w:t>
            </w:r>
          </w:p>
        </w:tc>
        <w:tc>
          <w:tcPr>
            <w:tcW w:type="dxa" w:w="4706"/>
          </w:tcPr>
          <w:p>
            <w:r>
              <w:t>বাংলাদেশ ও ডায়াস্পোরাজুড়ে ক্লায়েন্ট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ওয়েব</w:t>
            </w:r>
          </w:p>
        </w:tc>
        <w:tc>
          <w:tcPr>
            <w:tcW w:type="dxa" w:w="4706"/>
          </w:tcPr>
          <w:p>
            <w:r/>
          </w:p>
        </w:tc>
      </w:tr>
    </w:tbl>
    <w:p/>
    <w:p>
      <w:pPr>
        <w:pStyle w:val="Heading2"/>
      </w:pPr>
      <w:r>
        <w:t>লক্ষ্য দর্শক</w:t>
      </w:r>
    </w:p>
    <w:p>
      <w:r>
        <w:t>নির্ভরযোগ্য আইনি পরামর্শ প্রত্যাশী স্টার্টআপ, এসএমই, এন্টারপ্রাইজ ও ব্যক্তি।</w:t>
      </w:r>
    </w:p>
    <w:p>
      <w:pPr>
        <w:pStyle w:val="Heading2"/>
      </w:pPr>
      <w:r>
        <w:t>সেবাসমূহ</w:t>
      </w:r>
    </w:p>
    <w:p>
      <w:pPr>
        <w:pStyle w:val="ListBullet"/>
      </w:pPr>
      <w:r>
        <w:t>কোম্পানি গঠন</w:t>
      </w:r>
    </w:p>
    <w:p>
      <w:pPr>
        <w:pStyle w:val="ListBullet"/>
      </w:pPr>
      <w:r>
        <w:t>চুক্তি ও সমঝোতা</w:t>
      </w:r>
    </w:p>
    <w:p>
      <w:pPr>
        <w:pStyle w:val="ListBullet"/>
      </w:pPr>
      <w:r>
        <w:t>আইপি ও ট্রেডমার্ক</w:t>
      </w:r>
    </w:p>
    <w:p>
      <w:pPr>
        <w:pStyle w:val="ListBullet"/>
      </w:pPr>
      <w:r>
        <w:t>কমপ্লায়েন্স ও বিরোধ</w:t>
      </w:r>
    </w:p>
    <w:p>
      <w:pPr>
        <w:pStyle w:val="Heading2"/>
      </w:pPr>
      <w:r>
        <w:t>স্বাক্ষর শক্তি</w:t>
      </w:r>
    </w:p>
    <w:p>
      <w:r>
        <w:rPr>
          <w:b/>
          <w:color w:val="0F2350"/>
        </w:rPr>
        <w:t>নির্ধারিত-ফি প্যাকেজ</w:t>
      </w:r>
    </w:p>
    <w:p>
      <w:pPr>
        <w:ind w:left="283"/>
      </w:pPr>
      <w:r>
        <w:t>গঠন, চুক্তি ও ফাইলিংয়ের জন্য স্বচ্ছ মূল্য — কাজ শুরুর আগেই উদ্ধৃতি।</w:t>
      </w:r>
    </w:p>
    <w:p>
      <w:r>
        <w:rPr>
          <w:b/>
          <w:color w:val="0F2350"/>
        </w:rPr>
        <w:t>শুধু সিনিয়র অ্যাডভোকেট</w:t>
      </w:r>
    </w:p>
    <w:p>
      <w:pPr>
        <w:ind w:left="283"/>
      </w:pPr>
      <w:r>
        <w:t>প্রতিটি বিষয় পরিচালনা করেন বারে তালিকাভুক্ত অ্যাডভোকেট — আপনার ফাইলে জুনিয়রদের শেখা নয়।</w:t>
      </w:r>
    </w:p>
    <w:p>
      <w:r>
        <w:rPr>
          <w:b/>
          <w:color w:val="0F2350"/>
        </w:rPr>
        <w:t>ব্যবসা-প্রথম পরামর্শ</w:t>
      </w:r>
    </w:p>
    <w:p>
      <w:pPr>
        <w:ind w:left="283"/>
      </w:pPr>
      <w:r>
        <w:t>পরিচালকদের জন্য লেখা পরামর্শ — ঝুঁকি চিহ্নিত, বিকল্প র‍্যাংক করা, পরবর্তী পদক্ষেপ স্পষ্ট।</w:t>
      </w:r>
    </w:p>
    <w:p>
      <w:pPr>
        <w:pStyle w:val="Heading2"/>
      </w:pPr>
      <w:r>
        <w:t>কেস স্টাডি</w:t>
      </w:r>
    </w:p>
    <w:p>
      <w:pPr>
        <w:pStyle w:val="Heading3"/>
      </w:pPr>
      <w:r>
        <w:t>চ্যালেঞ্জ</w:t>
      </w:r>
    </w:p>
    <w:p>
      <w:r>
        <w:t>একটি দ্রুতবর্ধনশীল ই-কমার্স গ্রুপ পর্যালোচনা ছাড়াই সরবরাহকারী চুক্তি সই করছিল, নিজের ব্র্যান্ডের ট্রেডমার্ক ছিল না, এবং এমন একটি নিয়ন্ত্রক নোটিশের মুখোমুখি হয়েছিল যা তারা বোঝেনি।</w:t>
      </w:r>
    </w:p>
    <w:p>
      <w:pPr>
        <w:pStyle w:val="Heading3"/>
      </w:pPr>
      <w:r>
        <w:t>আমাদের সমাধান</w:t>
      </w:r>
    </w:p>
    <w:p>
      <w:r>
        <w:t>ইয়েস লিগ্যাল অ্যাডভাইস পরিচালনা করেছে ৩৬০° আইনি অডিট, গ্রুপের ট্রেডমার্ক নিবন্ধন করেছে, চুক্তি লাইব্রেরি পুনর্গঠন করেছে এবং মাসিক রিটেইনারের অধীনে নিয়ন্ত্রক সংস্থার চিঠিপত্র দেখভাল গ্রহণ করেছে।</w:t>
      </w:r>
    </w:p>
    <w:p>
      <w:pPr>
        <w:pStyle w:val="Heading2"/>
      </w:pPr>
      <w:r>
        <w:t>ডেলিভারি ধাপ</w:t>
      </w:r>
    </w:p>
    <w:p>
      <w:r>
        <w:rPr>
          <w:b/>
        </w:rPr>
        <w:t>1. আবিষ্কার</w:t>
      </w:r>
    </w:p>
    <w:p>
      <w:pPr>
        <w:ind w:left="283"/>
      </w:pPr>
      <w:r>
        <w:t>পূর্ণ আইনি অডিট — সত্তা কাঠামো, লাইসেন্স, চুক্তি, আইপি ও মুলতুবি নোটিশ।</w:t>
      </w:r>
    </w:p>
    <w:p>
      <w:r>
        <w:rPr>
          <w:b/>
        </w:rPr>
        <w:t>2. নকশা</w:t>
      </w:r>
    </w:p>
    <w:p>
      <w:pPr>
        <w:ind w:left="283"/>
      </w:pPr>
      <w:r>
        <w:t>ঝুঁকি অনুযায়ী সাজানো প্রতিকার রোডম্যাপ, সঙ্গে প্রমিত চুক্তি ও নীতি লাইব্রেরি।</w:t>
      </w:r>
    </w:p>
    <w:p>
      <w:r>
        <w:rPr>
          <w:b/>
        </w:rPr>
        <w:t>3. নির্মাণ</w:t>
      </w:r>
    </w:p>
    <w:p>
      <w:pPr>
        <w:ind w:left="283"/>
      </w:pPr>
      <w:r>
        <w:t>ট্রেডমার্ক ফাইলিং, পুনঃপ্রণীত চুক্তি, কমপ্লায়েন্স ক্যালেন্ডার ও বোর্ড রেজোলিউশন।</w:t>
      </w:r>
    </w:p>
    <w:p>
      <w:r>
        <w:rPr>
          <w:b/>
        </w:rPr>
        <w:t>4. লঞ্চ ও প্রবৃদ্ধি</w:t>
      </w:r>
    </w:p>
    <w:p>
      <w:pPr>
        <w:ind w:left="283"/>
      </w:pPr>
      <w:r>
        <w:t>মাসিক রিটেইনার কাউন্সেল, ত্রৈমাসিক কমপ্লায়েন্স পর্যালোচনা ও অন-কল বিরোধ সহায়তা।</w:t>
      </w:r>
    </w:p>
    <w:p>
      <w:pPr>
        <w:pStyle w:val="Heading2"/>
      </w:pPr>
      <w:r>
        <w:t>প্রযুক্তি স্ট্যাক</w:t>
      </w:r>
    </w:p>
    <w:p>
      <w:r>
        <w:t>RJSC e-Filing · DPDT IP Portal · Contract Lifecycle Mgmt · e-Court Services</w:t>
      </w:r>
    </w:p>
    <w:p>
      <w:pPr>
        <w:pStyle w:val="Heading2"/>
      </w:pPr>
      <w:r>
        <w:t>প্রমাণিত ফলাফল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প্রমাণিত ফলাফল</w:t>
            </w:r>
          </w:p>
        </w:tc>
        <w:tc>
          <w:tcPr>
            <w:tcW w:type="dxa" w:w="4706"/>
          </w:tcPr>
          <w:p>
            <w:r>
              <w:rPr>
                <w:b/>
                <w:color w:val="0F2350"/>
              </w:rPr>
              <w:t>মান</w:t>
            </w:r>
          </w:p>
        </w:tc>
      </w:tr>
      <w:tr>
        <w:tc>
          <w:tcPr>
            <w:tcW w:type="dxa" w:w="4706"/>
          </w:tcPr>
          <w:p>
            <w:r>
              <w:t>পর্যালোচিত চুক্তি</w:t>
            </w:r>
          </w:p>
        </w:tc>
        <w:tc>
          <w:tcPr>
            <w:tcW w:type="dxa" w:w="4706"/>
          </w:tcPr>
          <w:p>
            <w:r>
              <w:t>১২০+</w:t>
            </w:r>
          </w:p>
        </w:tc>
      </w:tr>
      <w:tr>
        <w:tc>
          <w:tcPr>
            <w:tcW w:type="dxa" w:w="4706"/>
          </w:tcPr>
          <w:p>
            <w:r>
              <w:t>সুরক্ষিত ট্রেডমার্ক</w:t>
            </w:r>
          </w:p>
        </w:tc>
        <w:tc>
          <w:tcPr>
            <w:tcW w:type="dxa" w:w="4706"/>
          </w:tcPr>
          <w:p>
            <w:r>
              <w:t>৯</w:t>
            </w:r>
          </w:p>
        </w:tc>
      </w:tr>
      <w:tr>
        <w:tc>
          <w:tcPr>
            <w:tcW w:type="dxa" w:w="4706"/>
          </w:tcPr>
          <w:p>
            <w:r>
              <w:t>নিয়ন্ত্রক ঝুঁকি</w:t>
            </w:r>
          </w:p>
        </w:tc>
        <w:tc>
          <w:tcPr>
            <w:tcW w:type="dxa" w:w="4706"/>
          </w:tcPr>
          <w:p>
            <w:r>
              <w:t>−১০০%</w:t>
            </w:r>
          </w:p>
        </w:tc>
      </w:tr>
      <w:tr>
        <w:tc>
          <w:tcPr>
            <w:tcW w:type="dxa" w:w="4706"/>
          </w:tcPr>
          <w:p>
            <w:r>
              <w:t>পরামর্শ প্রদানের সময়</w:t>
            </w:r>
          </w:p>
        </w:tc>
        <w:tc>
          <w:tcPr>
            <w:tcW w:type="dxa" w:w="4706"/>
          </w:tcPr>
          <w:p>
            <w:r>
              <w:t>&lt;৪৮ ঘণ্টা</w:t>
            </w:r>
          </w:p>
        </w:tc>
      </w:tr>
    </w:tbl>
    <w:p/>
    <w:p>
      <w:pPr>
        <w:pStyle w:val="Heading2"/>
      </w:pPr>
      <w:r>
        <w:t>ক্লায়েন্ট মতামত</w:t>
      </w:r>
    </w:p>
    <w:p>
      <w:r>
        <w:rPr>
          <w:i/>
        </w:rPr>
        <w:t>“ইয়েস লিগ্যাল অ্যাডভাইস আমাদের পুরো চুক্তি লাইব্রেরি পুনর্গঠন করেছে এবং কয়েক সপ্তাহের মধ্যে আমাদের ট্রেডমার্ক ফাইল করেছে। প্রথমবারের মতো আইনি সেবা মনে হচ্ছে প্রবৃদ্ধির অংশীদার — খরচের খাতা নয়।”</w:t>
      </w:r>
    </w:p>
    <w:p>
      <w:r>
        <w:rPr>
          <w:color w:val="5A5A5A"/>
        </w:rPr>
        <w:t>— ফারহানা করিম · ব্যবস্থাপনা পরিচালক, নবান্ন কমার্স লি.</w:t>
      </w:r>
    </w:p>
    <w:p>
      <w:pPr>
        <w:pStyle w:val="Heading2"/>
      </w:pPr>
      <w:r>
        <w:t>যোগাযোগ</w:t>
      </w:r>
    </w:p>
    <w:p>
      <w:r>
        <w:t>ফোন: +880 1805-464343 · ইমেইল: yessbangla.bd@gmail.com · ওয়েব: www.yessbd.com</w:t>
      </w:r>
    </w:p>
    <w:p>
      <w:r>
        <w:t>Block-A, Road-3, House-127 (Green View), 1st Floor, Mirpur-12, Dhaka-1216</w:t>
      </w:r>
    </w:p>
    <w:p>
      <w:pPr>
        <w:jc w:val="center"/>
      </w:pPr>
      <w:r>
        <w:rPr>
          <w:color w:val="5A5A5A"/>
          <w:sz w:val="16"/>
        </w:rPr>
        <w:t>ইয়েস লিগ্যাল অ্যাডভাইস — প্রজেক্ট প্রোফাইল (সম্পাদনাযোগ্য সংস্করণ)</w:t>
      </w:r>
    </w:p>
    <w:sectPr w:rsidR="00FC693F" w:rsidRPr="0006063C" w:rsidSect="00034616">
      <w:headerReference w:type="default" r:id="rId9"/>
      <w:pgSz w:w="11906" w:h="16838"/>
      <w:pgMar w:top="2721" w:right="1247" w:bottom="1871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 xmlns:a="http://schemas.openxmlformats.org/drawingml/2006/main" xmlns:pic="http://schemas.openxmlformats.org/drawingml/2006/picture">
      <w:drawing>
        <wp:anchor behindDoc="1" locked="0" layoutInCell="1" allowOverlap="1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1" name="YessLetterhead" descr="Yess Bangla official letterhead pad"/>
          <wp:cNvGraphicFramePr/>
          <a:graphic>
            <a:graphicData uri="http://schemas.openxmlformats.org/drawingml/2006/picture">
              <pic:pic>
                <pic:nvPicPr>
                  <pic:cNvPr id="0" name="yess-bangla-letterhead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Bengali" w:hAnsi="Noto Sans Bengali" w:cs="Noto Sans Bengali" w:eastAsia="Noto Sans Bengali"/>
      <w:color w:val="2B2B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Bengali" w:hAnsi="Noto Sans Bengali" w:cs="Noto Sans Bengali"/>
      <w:b/>
      <w:bCs/>
      <w:color w:val="0F235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Bengali" w:hAnsi="Noto Sans Bengali" w:cs="Noto Sans Bengali"/>
      <w:b/>
      <w:bCs/>
      <w:color w:val="0F2350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Bengali" w:hAnsi="Noto Sans Bengali" w:cs="Noto Sans Bengali"/>
      <w:b/>
      <w:bCs/>
      <w:color w:val="B9892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